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02D1" w14:textId="77777777" w:rsid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eastAsia="Calibri" w:cs="Times New Roman"/>
          <w:sz w:val="22"/>
          <w:szCs w:val="22"/>
          <w:lang w:eastAsia="en-US"/>
        </w:rPr>
      </w:pPr>
    </w:p>
    <w:p w14:paraId="5D949D7C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eastAsia="Calibri" w:cs="Times New Roman"/>
          <w:sz w:val="22"/>
          <w:szCs w:val="22"/>
          <w:lang w:eastAsia="en-US"/>
        </w:rPr>
      </w:pPr>
      <w:r w:rsidRPr="008D32D2">
        <w:rPr>
          <w:rFonts w:cs="Times New Roman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29908BE6" wp14:editId="2953D14B">
            <wp:simplePos x="0" y="0"/>
            <wp:positionH relativeFrom="margin">
              <wp:align>left</wp:align>
            </wp:positionH>
            <wp:positionV relativeFrom="paragraph">
              <wp:posOffset>-485775</wp:posOffset>
            </wp:positionV>
            <wp:extent cx="1583055" cy="6127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A8526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b/>
          <w:sz w:val="22"/>
          <w:szCs w:val="22"/>
          <w:lang w:eastAsia="en-US"/>
        </w:rPr>
      </w:pPr>
      <w:r w:rsidRPr="008D32D2">
        <w:rPr>
          <w:rFonts w:eastAsia="Calibri" w:cs="Times New Roman"/>
          <w:b/>
          <w:sz w:val="22"/>
          <w:szCs w:val="22"/>
          <w:lang w:eastAsia="en-US"/>
        </w:rPr>
        <w:t xml:space="preserve">Organismo Indipendente di </w:t>
      </w:r>
    </w:p>
    <w:p w14:paraId="7682DA3E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b/>
          <w:sz w:val="22"/>
          <w:szCs w:val="22"/>
          <w:lang w:eastAsia="en-US"/>
        </w:rPr>
      </w:pPr>
      <w:r w:rsidRPr="008D32D2">
        <w:rPr>
          <w:rFonts w:eastAsia="Calibri" w:cs="Times New Roman"/>
          <w:b/>
          <w:sz w:val="22"/>
          <w:szCs w:val="22"/>
          <w:lang w:eastAsia="en-US"/>
        </w:rPr>
        <w:t>Valutazione della Performance</w:t>
      </w:r>
    </w:p>
    <w:p w14:paraId="14FB7BC1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rPr>
          <w:rFonts w:eastAsia="Calibri" w:cs="Times New Roman"/>
          <w:b/>
          <w:sz w:val="22"/>
          <w:szCs w:val="22"/>
          <w:lang w:eastAsia="en-US"/>
        </w:rPr>
      </w:pPr>
      <w:r w:rsidRPr="008D32D2">
        <w:rPr>
          <w:rFonts w:eastAsia="Calibri" w:cs="Times New Roman"/>
          <w:b/>
          <w:sz w:val="22"/>
          <w:szCs w:val="22"/>
          <w:lang w:eastAsia="en-US"/>
        </w:rPr>
        <w:t>Della Camera di Commercio I.A.A. di Caserta</w:t>
      </w:r>
    </w:p>
    <w:p w14:paraId="0EC75F14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sz w:val="18"/>
          <w:szCs w:val="18"/>
          <w:lang w:eastAsia="en-US"/>
        </w:rPr>
      </w:pPr>
      <w:r w:rsidRPr="008D32D2">
        <w:rPr>
          <w:rFonts w:eastAsia="Calibri" w:cs="Times New Roman"/>
          <w:sz w:val="18"/>
          <w:szCs w:val="18"/>
          <w:lang w:eastAsia="en-US"/>
        </w:rPr>
        <w:t xml:space="preserve">PEC: </w:t>
      </w:r>
      <w:hyperlink r:id="rId8" w:history="1">
        <w:r w:rsidRPr="008D32D2">
          <w:rPr>
            <w:rFonts w:eastAsia="Calibri" w:cs="Times New Roman"/>
            <w:color w:val="0000FF"/>
            <w:sz w:val="18"/>
            <w:szCs w:val="18"/>
            <w:u w:val="single"/>
            <w:lang w:eastAsia="en-US"/>
          </w:rPr>
          <w:t>camera.commercio.caserta@ce.legalmail.camcom.it</w:t>
        </w:r>
      </w:hyperlink>
      <w:r w:rsidRPr="008D32D2"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11972C14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eastAsia="Calibri" w:cs="Times New Roman"/>
          <w:sz w:val="18"/>
          <w:szCs w:val="18"/>
          <w:lang w:eastAsia="en-US"/>
        </w:rPr>
      </w:pPr>
      <w:proofErr w:type="gramStart"/>
      <w:r w:rsidRPr="008D32D2">
        <w:rPr>
          <w:rFonts w:eastAsia="Calibri" w:cs="Times New Roman"/>
          <w:sz w:val="18"/>
          <w:szCs w:val="18"/>
          <w:lang w:eastAsia="en-US"/>
        </w:rPr>
        <w:t>e-mail</w:t>
      </w:r>
      <w:proofErr w:type="gramEnd"/>
      <w:r w:rsidRPr="008D32D2">
        <w:rPr>
          <w:rFonts w:eastAsia="Calibri" w:cs="Times New Roman"/>
          <w:sz w:val="18"/>
          <w:szCs w:val="18"/>
          <w:lang w:eastAsia="en-US"/>
        </w:rPr>
        <w:t xml:space="preserve">: </w:t>
      </w:r>
      <w:hyperlink r:id="rId9" w:history="1">
        <w:r w:rsidRPr="008D32D2">
          <w:rPr>
            <w:rFonts w:eastAsia="Calibri" w:cs="Times New Roman"/>
            <w:color w:val="0000FF"/>
            <w:sz w:val="18"/>
            <w:szCs w:val="18"/>
            <w:u w:val="single"/>
            <w:lang w:eastAsia="en-US"/>
          </w:rPr>
          <w:t>info@ce.camcom.it</w:t>
        </w:r>
      </w:hyperlink>
      <w:r w:rsidRPr="008D32D2"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0581A929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i/>
          <w:iCs/>
          <w:sz w:val="36"/>
          <w:szCs w:val="36"/>
          <w:lang w:eastAsia="en-US"/>
        </w:rPr>
      </w:pPr>
      <w:r w:rsidRPr="008D32D2">
        <w:rPr>
          <w:rFonts w:eastAsia="Calibri" w:cs="Times New Roman"/>
          <w:b/>
          <w:bCs/>
          <w:i/>
          <w:iCs/>
          <w:sz w:val="36"/>
          <w:szCs w:val="36"/>
          <w:lang w:eastAsia="en-US"/>
        </w:rPr>
        <w:t xml:space="preserve">Scheda di sintesi sulla rilevazione degli OIV </w:t>
      </w:r>
    </w:p>
    <w:p w14:paraId="5A434E27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pPr>
      <w:r w:rsidRPr="008D32D2">
        <w:rPr>
          <w:rFonts w:eastAsia="Calibri" w:cs="Times New Roman"/>
          <w:b/>
          <w:bCs/>
          <w:i/>
          <w:iCs/>
          <w:sz w:val="28"/>
          <w:szCs w:val="28"/>
          <w:lang w:eastAsia="en-US"/>
        </w:rPr>
        <w:t>Data di svolgimento della rilevazione</w:t>
      </w:r>
    </w:p>
    <w:p w14:paraId="631A1A36" w14:textId="36DB9516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lang w:eastAsia="en-US"/>
        </w:rPr>
      </w:pPr>
      <w:r w:rsidRPr="008D32D2">
        <w:rPr>
          <w:rFonts w:eastAsia="Calibri" w:cs="Times New Roman"/>
          <w:lang w:eastAsia="en-US"/>
        </w:rPr>
        <w:t xml:space="preserve">La rilevazione è stata eseguita il </w:t>
      </w:r>
      <w:r w:rsidR="007C6392">
        <w:rPr>
          <w:rFonts w:eastAsia="Calibri" w:cs="Times New Roman"/>
          <w:lang w:eastAsia="en-US"/>
        </w:rPr>
        <w:t>29</w:t>
      </w:r>
      <w:r w:rsidR="00580AE6">
        <w:rPr>
          <w:rFonts w:eastAsia="Calibri" w:cs="Times New Roman"/>
          <w:lang w:eastAsia="en-US"/>
        </w:rPr>
        <w:t>/03/</w:t>
      </w:r>
      <w:r w:rsidRPr="008D32D2">
        <w:rPr>
          <w:rFonts w:eastAsia="Calibri" w:cs="Times New Roman"/>
          <w:lang w:eastAsia="en-US"/>
        </w:rPr>
        <w:t>201</w:t>
      </w:r>
      <w:r>
        <w:rPr>
          <w:rFonts w:eastAsia="Calibri" w:cs="Times New Roman"/>
          <w:lang w:eastAsia="en-US"/>
        </w:rPr>
        <w:t>7</w:t>
      </w:r>
    </w:p>
    <w:p w14:paraId="0D82D3E1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pPr>
      <w:r w:rsidRPr="008D32D2">
        <w:rPr>
          <w:rFonts w:eastAsia="Calibri" w:cs="Times New Roman"/>
          <w:b/>
          <w:bCs/>
          <w:i/>
          <w:iCs/>
          <w:sz w:val="28"/>
          <w:szCs w:val="28"/>
          <w:lang w:eastAsia="en-US"/>
        </w:rPr>
        <w:t>Estensione della rilevazione (nel caso di amministrazioni con uffici periferici, articolazioni organizzative autonome e Corpi)</w:t>
      </w:r>
    </w:p>
    <w:p w14:paraId="6F0714E9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lang w:eastAsia="en-US"/>
        </w:rPr>
      </w:pPr>
      <w:r w:rsidRPr="008D32D2">
        <w:rPr>
          <w:rFonts w:eastAsia="Calibri" w:cs="Times New Roman"/>
          <w:lang w:eastAsia="en-US"/>
        </w:rPr>
        <w:t>La Camera di Commercio I.A.A. di Caserta non possiede articolazioni organizzative autonome.</w:t>
      </w:r>
    </w:p>
    <w:p w14:paraId="7DBA14FE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pPr>
      <w:r w:rsidRPr="008D32D2">
        <w:rPr>
          <w:rFonts w:eastAsia="Calibri" w:cs="Times New Roman"/>
          <w:b/>
          <w:bCs/>
          <w:i/>
          <w:iCs/>
          <w:sz w:val="28"/>
          <w:szCs w:val="28"/>
          <w:lang w:eastAsia="en-US"/>
        </w:rPr>
        <w:t>Procedure e modalità seguite per la rilevazione</w:t>
      </w:r>
    </w:p>
    <w:p w14:paraId="66C45945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pPr>
      <w:r w:rsidRPr="008D32D2">
        <w:rPr>
          <w:rFonts w:eastAsia="Calibri" w:cs="Times New Roman"/>
          <w:lang w:eastAsia="en-US"/>
        </w:rPr>
        <w:t>La verifica dell’attività svolta dal Responsabile della trasparenza, per riscontrare l’adempimento degli obblighi di pubblicazione, è stata effettuata attraverso la disamina delle varie sotto-sezioni di primo e secondo livello, della sezione del sito web “Amministrazione Trasparente”. È stata esaminata la documentazione ivi riportata per verificarne la rispondenza al dettato normativo, accertando anche l’aggiornamento dei dati. La verifica è stata effettuata con la presenza del Responsabile della pubblicazione dei dati.</w:t>
      </w:r>
    </w:p>
    <w:p w14:paraId="15A195CB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pPr>
      <w:r w:rsidRPr="008D32D2">
        <w:rPr>
          <w:rFonts w:eastAsia="Calibri" w:cs="Times New Roman"/>
          <w:b/>
          <w:bCs/>
          <w:i/>
          <w:iCs/>
          <w:sz w:val="28"/>
          <w:szCs w:val="28"/>
          <w:lang w:eastAsia="en-US"/>
        </w:rPr>
        <w:t>Aspetti critici riscontrati nel corso della rilevazione</w:t>
      </w:r>
    </w:p>
    <w:p w14:paraId="72FC4B89" w14:textId="4219F590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rPr>
          <w:rFonts w:eastAsia="Calibri" w:cs="Times New Roman"/>
          <w:bCs/>
          <w:iCs/>
          <w:lang w:eastAsia="en-US"/>
        </w:rPr>
      </w:pPr>
      <w:r w:rsidRPr="008D32D2">
        <w:rPr>
          <w:rFonts w:eastAsia="Calibri" w:cs="Times New Roman"/>
          <w:bCs/>
          <w:iCs/>
          <w:lang w:eastAsia="en-US"/>
        </w:rPr>
        <w:t>Una prima criticità riguarda la consegna dell’ultima dichiarazione 201</w:t>
      </w:r>
      <w:r>
        <w:rPr>
          <w:rFonts w:eastAsia="Calibri" w:cs="Times New Roman"/>
          <w:bCs/>
          <w:iCs/>
          <w:lang w:eastAsia="en-US"/>
        </w:rPr>
        <w:t>6</w:t>
      </w:r>
      <w:r w:rsidRPr="008D32D2">
        <w:rPr>
          <w:rFonts w:eastAsia="Calibri" w:cs="Times New Roman"/>
          <w:bCs/>
          <w:iCs/>
          <w:lang w:eastAsia="en-US"/>
        </w:rPr>
        <w:t>, riferita ai redditi anno 201</w:t>
      </w:r>
      <w:r>
        <w:rPr>
          <w:rFonts w:eastAsia="Calibri" w:cs="Times New Roman"/>
          <w:bCs/>
          <w:iCs/>
          <w:lang w:eastAsia="en-US"/>
        </w:rPr>
        <w:t>5</w:t>
      </w:r>
      <w:r w:rsidRPr="008D32D2">
        <w:rPr>
          <w:rFonts w:eastAsia="Calibri" w:cs="Times New Roman"/>
          <w:bCs/>
          <w:iCs/>
          <w:lang w:eastAsia="en-US"/>
        </w:rPr>
        <w:t xml:space="preserve">, da parte dei componenti degli organi di indirizzo politico-amministrativi dell’Ente. Alla data della rilevazione risulta consegnato e pubblicato circa il </w:t>
      </w:r>
      <w:r w:rsidR="006373F2">
        <w:rPr>
          <w:rFonts w:eastAsia="Calibri" w:cs="Times New Roman"/>
          <w:bCs/>
          <w:iCs/>
          <w:lang w:eastAsia="en-US"/>
        </w:rPr>
        <w:t>72</w:t>
      </w:r>
      <w:r w:rsidRPr="008D32D2">
        <w:rPr>
          <w:rFonts w:eastAsia="Calibri" w:cs="Times New Roman"/>
          <w:bCs/>
          <w:iCs/>
          <w:lang w:eastAsia="en-US"/>
        </w:rPr>
        <w:t>% delle dichiarazioni de quibus</w:t>
      </w:r>
      <w:r w:rsidR="007C6392">
        <w:rPr>
          <w:rFonts w:eastAsia="Calibri" w:cs="Times New Roman"/>
          <w:bCs/>
          <w:iCs/>
          <w:lang w:eastAsia="en-US"/>
        </w:rPr>
        <w:t>, valore quasi raddoppiato rispetto al dato rilevato lo scorso anno</w:t>
      </w:r>
      <w:r w:rsidRPr="008D32D2">
        <w:rPr>
          <w:rFonts w:eastAsia="Calibri" w:cs="Times New Roman"/>
          <w:bCs/>
          <w:iCs/>
          <w:lang w:eastAsia="en-US"/>
        </w:rPr>
        <w:t xml:space="preserve">. Tuttavia i componenti del Consiglio camerale sono stati informati con nota del Responsabile della Prevenzione della Corruzione e della Trasparenza n. </w:t>
      </w:r>
      <w:r w:rsidR="006373F2">
        <w:rPr>
          <w:rFonts w:eastAsia="Calibri" w:cs="Times New Roman"/>
          <w:bCs/>
          <w:iCs/>
          <w:lang w:eastAsia="en-US"/>
        </w:rPr>
        <w:t>14517</w:t>
      </w:r>
      <w:r w:rsidRPr="008D32D2">
        <w:rPr>
          <w:rFonts w:eastAsia="Calibri" w:cs="Times New Roman"/>
          <w:bCs/>
          <w:iCs/>
          <w:lang w:eastAsia="en-US"/>
        </w:rPr>
        <w:t xml:space="preserve"> del </w:t>
      </w:r>
      <w:r w:rsidR="006373F2">
        <w:rPr>
          <w:rFonts w:eastAsia="Calibri" w:cs="Times New Roman"/>
          <w:bCs/>
          <w:iCs/>
          <w:lang w:eastAsia="en-US"/>
        </w:rPr>
        <w:t>11</w:t>
      </w:r>
      <w:r w:rsidRPr="008D32D2">
        <w:rPr>
          <w:rFonts w:eastAsia="Calibri" w:cs="Times New Roman"/>
          <w:bCs/>
          <w:iCs/>
          <w:lang w:eastAsia="en-US"/>
        </w:rPr>
        <w:t>.0</w:t>
      </w:r>
      <w:r w:rsidR="006373F2">
        <w:rPr>
          <w:rFonts w:eastAsia="Calibri" w:cs="Times New Roman"/>
          <w:bCs/>
          <w:iCs/>
          <w:lang w:eastAsia="en-US"/>
        </w:rPr>
        <w:t>7</w:t>
      </w:r>
      <w:r w:rsidRPr="008D32D2">
        <w:rPr>
          <w:rFonts w:eastAsia="Calibri" w:cs="Times New Roman"/>
          <w:bCs/>
          <w:iCs/>
          <w:lang w:eastAsia="en-US"/>
        </w:rPr>
        <w:t>.201</w:t>
      </w:r>
      <w:r w:rsidR="006373F2">
        <w:rPr>
          <w:rFonts w:eastAsia="Calibri" w:cs="Times New Roman"/>
          <w:bCs/>
          <w:iCs/>
          <w:lang w:eastAsia="en-US"/>
        </w:rPr>
        <w:t>6</w:t>
      </w:r>
      <w:r w:rsidRPr="008D32D2">
        <w:rPr>
          <w:rFonts w:eastAsia="Calibri" w:cs="Times New Roman"/>
          <w:bCs/>
          <w:iCs/>
          <w:lang w:eastAsia="en-US"/>
        </w:rPr>
        <w:t xml:space="preserve"> e successivamente sollecitati con nota n. </w:t>
      </w:r>
      <w:r w:rsidR="006373F2">
        <w:rPr>
          <w:rFonts w:eastAsia="Calibri" w:cs="Times New Roman"/>
          <w:bCs/>
          <w:iCs/>
          <w:lang w:eastAsia="en-US"/>
        </w:rPr>
        <w:t>23260</w:t>
      </w:r>
      <w:r w:rsidRPr="008D32D2">
        <w:rPr>
          <w:rFonts w:eastAsia="Calibri" w:cs="Times New Roman"/>
          <w:bCs/>
          <w:iCs/>
          <w:lang w:eastAsia="en-US"/>
        </w:rPr>
        <w:t xml:space="preserve"> del </w:t>
      </w:r>
      <w:r w:rsidR="006373F2">
        <w:rPr>
          <w:rFonts w:eastAsia="Calibri" w:cs="Times New Roman"/>
          <w:bCs/>
          <w:iCs/>
          <w:lang w:eastAsia="en-US"/>
        </w:rPr>
        <w:t>22</w:t>
      </w:r>
      <w:r w:rsidRPr="008D32D2">
        <w:rPr>
          <w:rFonts w:eastAsia="Calibri" w:cs="Times New Roman"/>
          <w:bCs/>
          <w:iCs/>
          <w:lang w:eastAsia="en-US"/>
        </w:rPr>
        <w:t>.</w:t>
      </w:r>
      <w:r w:rsidR="006373F2">
        <w:rPr>
          <w:rFonts w:eastAsia="Calibri" w:cs="Times New Roman"/>
          <w:bCs/>
          <w:iCs/>
          <w:lang w:eastAsia="en-US"/>
        </w:rPr>
        <w:t>11</w:t>
      </w:r>
      <w:r w:rsidRPr="008D32D2">
        <w:rPr>
          <w:rFonts w:eastAsia="Calibri" w:cs="Times New Roman"/>
          <w:bCs/>
          <w:iCs/>
          <w:lang w:eastAsia="en-US"/>
        </w:rPr>
        <w:t xml:space="preserve">.2016 </w:t>
      </w:r>
      <w:r w:rsidR="006373F2">
        <w:rPr>
          <w:rFonts w:eastAsia="Calibri" w:cs="Times New Roman"/>
          <w:bCs/>
          <w:iCs/>
          <w:lang w:eastAsia="en-US"/>
        </w:rPr>
        <w:t>e con note individuali</w:t>
      </w:r>
      <w:r w:rsidR="00580AE6">
        <w:rPr>
          <w:rFonts w:eastAsia="Calibri" w:cs="Times New Roman"/>
          <w:bCs/>
          <w:iCs/>
          <w:lang w:eastAsia="en-US"/>
        </w:rPr>
        <w:t>,</w:t>
      </w:r>
      <w:r w:rsidR="006373F2">
        <w:rPr>
          <w:rFonts w:eastAsia="Calibri" w:cs="Times New Roman"/>
          <w:bCs/>
          <w:iCs/>
          <w:lang w:eastAsia="en-US"/>
        </w:rPr>
        <w:t xml:space="preserve"> </w:t>
      </w:r>
      <w:proofErr w:type="spellStart"/>
      <w:r w:rsidR="00FF6532">
        <w:rPr>
          <w:rFonts w:eastAsia="Calibri" w:cs="Times New Roman"/>
          <w:bCs/>
          <w:iCs/>
          <w:lang w:eastAsia="en-US"/>
        </w:rPr>
        <w:t>prot</w:t>
      </w:r>
      <w:proofErr w:type="spellEnd"/>
      <w:r w:rsidR="00FF6532">
        <w:rPr>
          <w:rFonts w:eastAsia="Calibri" w:cs="Times New Roman"/>
          <w:bCs/>
          <w:iCs/>
          <w:lang w:eastAsia="en-US"/>
        </w:rPr>
        <w:t xml:space="preserve">. </w:t>
      </w:r>
      <w:proofErr w:type="gramStart"/>
      <w:r w:rsidR="00FF6532">
        <w:rPr>
          <w:rFonts w:eastAsia="Calibri" w:cs="Times New Roman"/>
          <w:bCs/>
          <w:iCs/>
          <w:lang w:eastAsia="en-US"/>
        </w:rPr>
        <w:t>da</w:t>
      </w:r>
      <w:proofErr w:type="gramEnd"/>
      <w:r w:rsidR="00FF6532">
        <w:rPr>
          <w:rFonts w:eastAsia="Calibri" w:cs="Times New Roman"/>
          <w:bCs/>
          <w:iCs/>
          <w:lang w:eastAsia="en-US"/>
        </w:rPr>
        <w:t xml:space="preserve"> n. 8102 al n. 8117 </w:t>
      </w:r>
      <w:r w:rsidR="006373F2">
        <w:rPr>
          <w:rFonts w:eastAsia="Calibri" w:cs="Times New Roman"/>
          <w:bCs/>
          <w:iCs/>
          <w:lang w:eastAsia="en-US"/>
        </w:rPr>
        <w:t>del 20.03.2017</w:t>
      </w:r>
      <w:r w:rsidR="00580AE6">
        <w:rPr>
          <w:rFonts w:eastAsia="Calibri" w:cs="Times New Roman"/>
          <w:bCs/>
          <w:iCs/>
          <w:lang w:eastAsia="en-US"/>
        </w:rPr>
        <w:t>,</w:t>
      </w:r>
      <w:r w:rsidR="006373F2">
        <w:rPr>
          <w:rFonts w:eastAsia="Calibri" w:cs="Times New Roman"/>
          <w:bCs/>
          <w:iCs/>
          <w:lang w:eastAsia="en-US"/>
        </w:rPr>
        <w:t xml:space="preserve"> </w:t>
      </w:r>
      <w:r w:rsidRPr="008D32D2">
        <w:rPr>
          <w:rFonts w:eastAsia="Calibri" w:cs="Times New Roman"/>
          <w:bCs/>
          <w:iCs/>
          <w:lang w:eastAsia="en-US"/>
        </w:rPr>
        <w:t xml:space="preserve">all’obbligo dell’adempimento. Per cui si prevede che il dato in oggetto migliorerà </w:t>
      </w:r>
      <w:r w:rsidR="007C6392">
        <w:rPr>
          <w:rFonts w:eastAsia="Calibri" w:cs="Times New Roman"/>
          <w:bCs/>
          <w:iCs/>
          <w:lang w:eastAsia="en-US"/>
        </w:rPr>
        <w:t xml:space="preserve">ulteriormente </w:t>
      </w:r>
      <w:r w:rsidRPr="008D32D2">
        <w:rPr>
          <w:rFonts w:eastAsia="Calibri" w:cs="Times New Roman"/>
          <w:bCs/>
          <w:iCs/>
          <w:lang w:eastAsia="en-US"/>
        </w:rPr>
        <w:t xml:space="preserve">nel suo valore assoluto nel corso del mese di </w:t>
      </w:r>
      <w:r>
        <w:rPr>
          <w:rFonts w:eastAsia="Calibri" w:cs="Times New Roman"/>
          <w:bCs/>
          <w:iCs/>
          <w:lang w:eastAsia="en-US"/>
        </w:rPr>
        <w:t>aprile</w:t>
      </w:r>
      <w:r w:rsidRPr="008D32D2">
        <w:rPr>
          <w:rFonts w:eastAsia="Calibri" w:cs="Times New Roman"/>
          <w:bCs/>
          <w:iCs/>
          <w:lang w:eastAsia="en-US"/>
        </w:rPr>
        <w:t>.</w:t>
      </w:r>
    </w:p>
    <w:p w14:paraId="53EAA8DA" w14:textId="2CCCE33C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rPr>
          <w:rFonts w:eastAsia="Calibri" w:cs="Times New Roman"/>
          <w:bCs/>
          <w:iCs/>
          <w:lang w:eastAsia="en-US"/>
        </w:rPr>
      </w:pPr>
      <w:r w:rsidRPr="008D32D2">
        <w:rPr>
          <w:rFonts w:eastAsia="Calibri" w:cs="Times New Roman"/>
          <w:bCs/>
          <w:iCs/>
          <w:lang w:eastAsia="en-US"/>
        </w:rPr>
        <w:t xml:space="preserve">Una seconda criticità riguarda i consulenti e collaboratori esterni all’Ente, per </w:t>
      </w:r>
      <w:r w:rsidR="006373F2">
        <w:rPr>
          <w:rFonts w:eastAsia="Calibri" w:cs="Times New Roman"/>
          <w:bCs/>
          <w:iCs/>
          <w:lang w:eastAsia="en-US"/>
        </w:rPr>
        <w:t>alcuni</w:t>
      </w:r>
      <w:r w:rsidRPr="008D32D2">
        <w:rPr>
          <w:rFonts w:eastAsia="Calibri" w:cs="Times New Roman"/>
          <w:bCs/>
          <w:iCs/>
          <w:lang w:eastAsia="en-US"/>
        </w:rPr>
        <w:t xml:space="preserve"> dei quali non risultano ancora disponibili i curricula e le dichiarazioni di insussistenza di situazioni, anche potenziali, di conflitti d’interesse. </w:t>
      </w:r>
      <w:r w:rsidR="006373F2">
        <w:rPr>
          <w:rFonts w:eastAsia="Calibri" w:cs="Times New Roman"/>
          <w:bCs/>
          <w:iCs/>
          <w:lang w:eastAsia="en-US"/>
        </w:rPr>
        <w:t xml:space="preserve">I </w:t>
      </w:r>
      <w:r w:rsidR="007C6392">
        <w:rPr>
          <w:rFonts w:eastAsia="Calibri" w:cs="Times New Roman"/>
          <w:bCs/>
          <w:iCs/>
          <w:lang w:eastAsia="en-US"/>
        </w:rPr>
        <w:t xml:space="preserve">dati pubblicati sui </w:t>
      </w:r>
      <w:r w:rsidR="006373F2">
        <w:rPr>
          <w:rFonts w:eastAsia="Calibri" w:cs="Times New Roman"/>
          <w:bCs/>
          <w:iCs/>
          <w:lang w:eastAsia="en-US"/>
        </w:rPr>
        <w:t xml:space="preserve">consulenti e collaboratori esterni adempienti sono notevolmente </w:t>
      </w:r>
      <w:r w:rsidR="007C6392">
        <w:rPr>
          <w:rFonts w:eastAsia="Calibri" w:cs="Times New Roman"/>
          <w:bCs/>
          <w:iCs/>
          <w:lang w:eastAsia="en-US"/>
        </w:rPr>
        <w:t>aumentati</w:t>
      </w:r>
      <w:r w:rsidR="006373F2">
        <w:rPr>
          <w:rFonts w:eastAsia="Calibri" w:cs="Times New Roman"/>
          <w:bCs/>
          <w:iCs/>
          <w:lang w:eastAsia="en-US"/>
        </w:rPr>
        <w:t xml:space="preserve"> rispetto allo scorso anno. </w:t>
      </w:r>
      <w:r w:rsidRPr="008D32D2">
        <w:rPr>
          <w:rFonts w:eastAsia="Calibri" w:cs="Times New Roman"/>
          <w:bCs/>
          <w:iCs/>
          <w:lang w:eastAsia="en-US"/>
        </w:rPr>
        <w:t xml:space="preserve">Poiché è in itinere l’invio di una nota di sollecito per la presentazione delle documentazione in discorso, anche in questo caso è presumibile che nel corso del mese di </w:t>
      </w:r>
      <w:r w:rsidR="006373F2">
        <w:rPr>
          <w:rFonts w:eastAsia="Calibri" w:cs="Times New Roman"/>
          <w:bCs/>
          <w:iCs/>
          <w:lang w:eastAsia="en-US"/>
        </w:rPr>
        <w:t>aprile</w:t>
      </w:r>
      <w:r w:rsidRPr="008D32D2">
        <w:rPr>
          <w:rFonts w:eastAsia="Calibri" w:cs="Times New Roman"/>
          <w:bCs/>
          <w:iCs/>
          <w:lang w:eastAsia="en-US"/>
        </w:rPr>
        <w:t xml:space="preserve"> verrà acquisita e pubblicata la documentazione tuttora mancante.</w:t>
      </w:r>
    </w:p>
    <w:p w14:paraId="6C5C8431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pPr>
      <w:r w:rsidRPr="008D32D2">
        <w:rPr>
          <w:rFonts w:eastAsia="Calibri" w:cs="Times New Roman"/>
          <w:b/>
          <w:bCs/>
          <w:i/>
          <w:iCs/>
          <w:sz w:val="28"/>
          <w:szCs w:val="28"/>
          <w:lang w:eastAsia="en-US"/>
        </w:rPr>
        <w:t>Eventuale documentazione da allegare</w:t>
      </w:r>
    </w:p>
    <w:p w14:paraId="34483334" w14:textId="77777777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jc w:val="left"/>
        <w:rPr>
          <w:rFonts w:eastAsia="Calibri" w:cs="Times New Roman"/>
          <w:bCs/>
          <w:iCs/>
          <w:lang w:eastAsia="en-US"/>
        </w:rPr>
      </w:pPr>
      <w:r w:rsidRPr="008D32D2">
        <w:rPr>
          <w:rFonts w:eastAsia="Calibri" w:cs="Times New Roman"/>
          <w:bCs/>
          <w:iCs/>
          <w:lang w:eastAsia="en-US"/>
        </w:rPr>
        <w:t>Non viene allegata documentazione ulteriore</w:t>
      </w:r>
    </w:p>
    <w:p w14:paraId="67690CD9" w14:textId="1C7427B9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240" w:lineRule="auto"/>
        <w:rPr>
          <w:rFonts w:eastAsia="Calibri" w:cs="Times New Roman"/>
          <w:sz w:val="22"/>
          <w:szCs w:val="22"/>
          <w:lang w:eastAsia="en-US"/>
        </w:rPr>
      </w:pPr>
      <w:r w:rsidRPr="008D32D2">
        <w:rPr>
          <w:rFonts w:eastAsia="Calibri" w:cs="Times New Roman"/>
          <w:sz w:val="22"/>
          <w:szCs w:val="22"/>
          <w:lang w:eastAsia="en-US"/>
        </w:rPr>
        <w:t xml:space="preserve">Data </w:t>
      </w:r>
      <w:r w:rsidR="00623A0B">
        <w:rPr>
          <w:rFonts w:eastAsia="Calibri" w:cs="Times New Roman"/>
          <w:sz w:val="22"/>
          <w:szCs w:val="22"/>
          <w:lang w:eastAsia="en-US"/>
        </w:rPr>
        <w:t>29</w:t>
      </w:r>
      <w:r w:rsidRPr="008D32D2">
        <w:rPr>
          <w:rFonts w:eastAsia="Calibri" w:cs="Times New Roman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sz w:val="22"/>
          <w:szCs w:val="22"/>
          <w:lang w:eastAsia="en-US"/>
        </w:rPr>
        <w:t>marz</w:t>
      </w:r>
      <w:r w:rsidRPr="008D32D2">
        <w:rPr>
          <w:rFonts w:eastAsia="Calibri" w:cs="Times New Roman"/>
          <w:sz w:val="22"/>
          <w:szCs w:val="22"/>
          <w:lang w:eastAsia="en-US"/>
        </w:rPr>
        <w:t>o 201</w:t>
      </w:r>
      <w:r>
        <w:rPr>
          <w:rFonts w:eastAsia="Calibri" w:cs="Times New Roman"/>
          <w:sz w:val="22"/>
          <w:szCs w:val="22"/>
          <w:lang w:eastAsia="en-US"/>
        </w:rPr>
        <w:t>7</w:t>
      </w:r>
    </w:p>
    <w:p w14:paraId="441ECC81" w14:textId="4ECFA30C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5103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   </w:t>
      </w:r>
      <w:r w:rsidRPr="008D32D2">
        <w:rPr>
          <w:rFonts w:eastAsia="Calibri" w:cs="Times New Roman"/>
          <w:b/>
          <w:sz w:val="22"/>
          <w:szCs w:val="22"/>
          <w:lang w:eastAsia="en-US"/>
        </w:rPr>
        <w:t>Il Titolare dell’OIV</w:t>
      </w:r>
    </w:p>
    <w:p w14:paraId="6C984B60" w14:textId="1378BED2" w:rsidR="008D32D2" w:rsidRPr="008D32D2" w:rsidRDefault="008D32D2" w:rsidP="008D32D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5103"/>
        <w:rPr>
          <w:rFonts w:eastAsia="Calibri" w:cs="Times New Roman"/>
          <w:sz w:val="22"/>
          <w:szCs w:val="22"/>
          <w:lang w:eastAsia="en-US"/>
        </w:rPr>
      </w:pPr>
      <w:bookmarkStart w:id="0" w:name="_GoBack"/>
      <w:bookmarkEnd w:id="0"/>
      <w:r w:rsidRPr="008D32D2">
        <w:rPr>
          <w:rFonts w:eastAsia="Calibri" w:cs="Times New Roman"/>
          <w:b/>
          <w:bCs/>
          <w:sz w:val="22"/>
          <w:szCs w:val="22"/>
          <w:lang w:eastAsia="en-US"/>
        </w:rPr>
        <w:t>Prof. Vincenzo Maggioni</w:t>
      </w:r>
    </w:p>
    <w:p w14:paraId="5F92ECB4" w14:textId="796DE63A" w:rsidR="00C27B23" w:rsidRPr="008D32D2" w:rsidRDefault="00246FE9" w:rsidP="008D3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f.to</w:t>
      </w:r>
    </w:p>
    <w:sectPr w:rsidR="00C27B23" w:rsidRPr="008D32D2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2198" w14:textId="77777777" w:rsidR="00610982" w:rsidRDefault="00610982">
      <w:pPr>
        <w:spacing w:after="0" w:line="240" w:lineRule="auto"/>
      </w:pPr>
      <w:r>
        <w:separator/>
      </w:r>
    </w:p>
  </w:endnote>
  <w:endnote w:type="continuationSeparator" w:id="0">
    <w:p w14:paraId="0C295C2B" w14:textId="77777777" w:rsidR="00610982" w:rsidRDefault="00610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C4FB" w14:textId="77777777" w:rsidR="00610982" w:rsidRDefault="00610982">
      <w:pPr>
        <w:spacing w:after="0" w:line="240" w:lineRule="auto"/>
      </w:pPr>
      <w:r>
        <w:separator/>
      </w:r>
    </w:p>
  </w:footnote>
  <w:footnote w:type="continuationSeparator" w:id="0">
    <w:p w14:paraId="26FB048C" w14:textId="77777777" w:rsidR="00610982" w:rsidRDefault="00610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ECB9" w14:textId="77777777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174168"/>
    <w:rsid w:val="00246FE9"/>
    <w:rsid w:val="00291114"/>
    <w:rsid w:val="0048249A"/>
    <w:rsid w:val="00572918"/>
    <w:rsid w:val="00580AE6"/>
    <w:rsid w:val="00610982"/>
    <w:rsid w:val="00623A0B"/>
    <w:rsid w:val="006373F2"/>
    <w:rsid w:val="007052EA"/>
    <w:rsid w:val="007C6392"/>
    <w:rsid w:val="008322B3"/>
    <w:rsid w:val="00855616"/>
    <w:rsid w:val="00861FE1"/>
    <w:rsid w:val="008D32D2"/>
    <w:rsid w:val="009C6FAC"/>
    <w:rsid w:val="00C27B23"/>
    <w:rsid w:val="00D27496"/>
    <w:rsid w:val="00E15247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EC9B"/>
  <w15:docId w15:val="{8669BB22-B2CC-436D-A974-505294D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.commercio.caserta@ce.legalmail.camco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e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Giuseppe Rauso</cp:lastModifiedBy>
  <cp:revision>9</cp:revision>
  <cp:lastPrinted>2017-03-29T13:53:00Z</cp:lastPrinted>
  <dcterms:created xsi:type="dcterms:W3CDTF">2017-03-22T10:31:00Z</dcterms:created>
  <dcterms:modified xsi:type="dcterms:W3CDTF">2017-03-29T13:54:00Z</dcterms:modified>
</cp:coreProperties>
</file>