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A2509" w:rsidRDefault="00000000">
      <w:pPr>
        <w:spacing w:line="240" w:lineRule="auto"/>
        <w:rPr>
          <w:rFonts w:ascii="Roboto" w:eastAsia="Roboto" w:hAnsi="Roboto" w:cs="Roboto"/>
          <w:b/>
          <w:bCs/>
          <w:sz w:val="48"/>
          <w:szCs w:val="48"/>
        </w:rPr>
      </w:pPr>
      <w:r>
        <w:rPr>
          <w:rFonts w:ascii="Roboto" w:eastAsia="Roboto" w:hAnsi="Roboto" w:cs="Roboto"/>
          <w:b/>
          <w:bCs/>
          <w:sz w:val="48"/>
          <w:szCs w:val="48"/>
        </w:rPr>
        <w:t xml:space="preserve">Pagine verificate con il validatore MAUVE++ consigliato da </w:t>
      </w:r>
      <w:proofErr w:type="spellStart"/>
      <w:r>
        <w:rPr>
          <w:rFonts w:ascii="Roboto" w:eastAsia="Roboto" w:hAnsi="Roboto" w:cs="Roboto"/>
          <w:b/>
          <w:bCs/>
          <w:sz w:val="48"/>
          <w:szCs w:val="48"/>
        </w:rPr>
        <w:t>Agid</w:t>
      </w:r>
      <w:proofErr w:type="spellEnd"/>
      <w:r>
        <w:rPr>
          <w:rFonts w:ascii="Roboto" w:eastAsia="Roboto" w:hAnsi="Roboto" w:cs="Roboto"/>
          <w:b/>
          <w:bCs/>
          <w:sz w:val="48"/>
          <w:szCs w:val="48"/>
        </w:rPr>
        <w:t xml:space="preserve"> </w:t>
      </w:r>
      <w:r>
        <w:rPr>
          <w:rFonts w:ascii="Roboto" w:eastAsia="Roboto" w:hAnsi="Roboto" w:cs="Roboto"/>
          <w:b/>
          <w:bCs/>
          <w:sz w:val="28"/>
          <w:szCs w:val="28"/>
        </w:rPr>
        <w:t>(</w:t>
      </w:r>
      <w:hyperlink r:id="rId4">
        <w:r>
          <w:rPr>
            <w:rFonts w:ascii="Roboto" w:eastAsia="Roboto" w:hAnsi="Roboto" w:cs="Roboto"/>
            <w:b/>
            <w:bCs/>
            <w:color w:val="0563C1"/>
            <w:sz w:val="28"/>
            <w:szCs w:val="28"/>
            <w:u w:val="single"/>
          </w:rPr>
          <w:t>https://www.agid.gov.it/en/node/102952</w:t>
        </w:r>
      </w:hyperlink>
      <w:r>
        <w:rPr>
          <w:rFonts w:ascii="Roboto" w:eastAsia="Roboto" w:hAnsi="Roboto" w:cs="Roboto"/>
          <w:b/>
          <w:bCs/>
          <w:sz w:val="48"/>
          <w:szCs w:val="48"/>
        </w:rPr>
        <w:t>)</w:t>
      </w:r>
    </w:p>
    <w:p w14:paraId="00000002" w14:textId="77777777" w:rsidR="00BA2509" w:rsidRDefault="00BA2509">
      <w:pPr>
        <w:spacing w:line="240" w:lineRule="auto"/>
        <w:rPr>
          <w:rFonts w:ascii="Roboto" w:eastAsia="Roboto" w:hAnsi="Roboto" w:cs="Roboto"/>
          <w:b/>
          <w:bCs/>
          <w:sz w:val="48"/>
          <w:szCs w:val="48"/>
        </w:rPr>
      </w:pPr>
    </w:p>
    <w:p w14:paraId="00000003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5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</w:t>
        </w:r>
      </w:hyperlink>
    </w:p>
    <w:p w14:paraId="00000004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6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https://www.ce.camcom.it/search/node/prova</w:t>
        </w:r>
      </w:hyperlink>
    </w:p>
    <w:p w14:paraId="00000005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7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https://www.ce.camcom.it/eventi</w:t>
        </w:r>
      </w:hyperlink>
    </w:p>
    <w:p w14:paraId="00000006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8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https://www.ce.camcom.it/in-evidenza/tutti-servizi</w:t>
        </w:r>
      </w:hyperlink>
    </w:p>
    <w:p w14:paraId="00000007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9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https://www.ce.camcom.it/registro-imprese</w:t>
        </w:r>
      </w:hyperlink>
    </w:p>
    <w:p w14:paraId="00000008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10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https://www.ce.camcom.it/prenotazione-appuntamenti</w:t>
        </w:r>
      </w:hyperlink>
    </w:p>
    <w:p w14:paraId="00000009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11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https://www.ce.camcom.it/bandi-incentivi</w:t>
        </w:r>
      </w:hyperlink>
    </w:p>
    <w:p w14:paraId="0000000A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12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https://www.ce.camcom.it/notizie/bando-contributi-alle-imprese-agricole-sostenere-green-economy-edizione-2026</w:t>
        </w:r>
      </w:hyperlink>
    </w:p>
    <w:p w14:paraId="0000000B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13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https://www.ce.camcom.it/asips</w:t>
        </w:r>
      </w:hyperlink>
    </w:p>
    <w:p w14:paraId="0000000C" w14:textId="77777777" w:rsidR="00BA2509" w:rsidRDefault="00000000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  <w:hyperlink r:id="rId14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https://www.ce.camcom.it/sitemap</w:t>
        </w:r>
      </w:hyperlink>
    </w:p>
    <w:p w14:paraId="0000000D" w14:textId="77777777" w:rsidR="00BA2509" w:rsidRDefault="00BA2509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</w:p>
    <w:p w14:paraId="0000000E" w14:textId="77777777" w:rsidR="00BA2509" w:rsidRDefault="00BA2509">
      <w:pPr>
        <w:spacing w:line="240" w:lineRule="auto"/>
        <w:rPr>
          <w:rFonts w:ascii="Roboto" w:eastAsia="Roboto" w:hAnsi="Roboto" w:cs="Roboto"/>
          <w:color w:val="212529"/>
          <w:sz w:val="24"/>
          <w:szCs w:val="24"/>
        </w:rPr>
      </w:pPr>
    </w:p>
    <w:p w14:paraId="0000000F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48"/>
          <w:szCs w:val="48"/>
        </w:rPr>
      </w:pPr>
      <w:r>
        <w:rPr>
          <w:rFonts w:ascii="Titillium" w:eastAsia="Titillium" w:hAnsi="Titillium" w:cs="Titillium"/>
          <w:b/>
          <w:bCs/>
          <w:sz w:val="48"/>
          <w:szCs w:val="48"/>
        </w:rPr>
        <w:t>Sito istituzionale Camera di Commercio di Caserta</w:t>
      </w:r>
    </w:p>
    <w:p w14:paraId="00000010" w14:textId="0A6F34AB" w:rsidR="00BA2509" w:rsidRDefault="00000000">
      <w:pPr>
        <w:spacing w:line="240" w:lineRule="auto"/>
        <w:rPr>
          <w:rFonts w:ascii="Titillium" w:eastAsia="Titillium" w:hAnsi="Titillium" w:cs="Titillium"/>
          <w:sz w:val="28"/>
          <w:szCs w:val="28"/>
        </w:rPr>
      </w:pPr>
      <w:r>
        <w:rPr>
          <w:rFonts w:ascii="Titillium" w:eastAsia="Titillium" w:hAnsi="Titillium" w:cs="Titillium"/>
          <w:sz w:val="28"/>
          <w:szCs w:val="28"/>
        </w:rPr>
        <w:t xml:space="preserve">redatta il </w:t>
      </w:r>
      <w:r w:rsidR="00253878" w:rsidRPr="00253878">
        <w:rPr>
          <w:rFonts w:ascii="Titillium" w:eastAsia="Titillium" w:hAnsi="Titillium" w:cs="Titillium"/>
          <w:sz w:val="28"/>
          <w:szCs w:val="28"/>
        </w:rPr>
        <w:t>21</w:t>
      </w:r>
      <w:r>
        <w:rPr>
          <w:rFonts w:ascii="Titillium" w:eastAsia="Titillium" w:hAnsi="Titillium" w:cs="Titillium"/>
          <w:sz w:val="28"/>
          <w:szCs w:val="28"/>
        </w:rPr>
        <w:t>.09.2026</w:t>
      </w:r>
    </w:p>
    <w:p w14:paraId="00000011" w14:textId="77777777" w:rsidR="00BA2509" w:rsidRDefault="00BA2509">
      <w:pPr>
        <w:spacing w:line="240" w:lineRule="auto"/>
        <w:rPr>
          <w:rFonts w:ascii="Titillium" w:eastAsia="Titillium" w:hAnsi="Titillium" w:cs="Titillium"/>
          <w:sz w:val="28"/>
          <w:szCs w:val="28"/>
        </w:rPr>
      </w:pPr>
    </w:p>
    <w:p w14:paraId="00000012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36"/>
          <w:szCs w:val="36"/>
        </w:rPr>
      </w:pPr>
      <w:r>
        <w:rPr>
          <w:rFonts w:ascii="Titillium" w:eastAsia="Titillium" w:hAnsi="Titillium" w:cs="Titillium"/>
          <w:b/>
          <w:bCs/>
          <w:sz w:val="36"/>
          <w:szCs w:val="36"/>
        </w:rPr>
        <w:t>Dichiarazione di accessibilità</w:t>
      </w:r>
    </w:p>
    <w:p w14:paraId="00000013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b/>
          <w:bCs/>
          <w:sz w:val="24"/>
          <w:szCs w:val="24"/>
        </w:rPr>
        <w:t>La Camera di Commercio di Caserta</w:t>
      </w:r>
      <w:r>
        <w:rPr>
          <w:rFonts w:ascii="Titillium" w:eastAsia="Titillium" w:hAnsi="Titillium" w:cs="Titillium"/>
          <w:sz w:val="24"/>
          <w:szCs w:val="24"/>
        </w:rPr>
        <w:t xml:space="preserve"> si impegna a rendere </w:t>
      </w:r>
      <w:r>
        <w:rPr>
          <w:rFonts w:ascii="Titillium" w:eastAsia="Titillium" w:hAnsi="Titillium" w:cs="Titillium"/>
          <w:b/>
          <w:bCs/>
          <w:sz w:val="24"/>
          <w:szCs w:val="24"/>
        </w:rPr>
        <w:t xml:space="preserve">il proprio sito web </w:t>
      </w:r>
      <w:r>
        <w:rPr>
          <w:rFonts w:ascii="Titillium" w:eastAsia="Titillium" w:hAnsi="Titillium" w:cs="Titillium"/>
          <w:sz w:val="24"/>
          <w:szCs w:val="24"/>
        </w:rPr>
        <w:t xml:space="preserve">accessibile, conformemente al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D.lgs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10 agosto 2018, n. 106 che ha recepito la direttiva UE 2016/2102 del Parlamento europeo e del Consiglio. </w:t>
      </w:r>
      <w:r>
        <w:rPr>
          <w:rFonts w:ascii="Titillium" w:eastAsia="Titillium" w:hAnsi="Titillium" w:cs="Titillium"/>
          <w:sz w:val="24"/>
          <w:szCs w:val="24"/>
        </w:rPr>
        <w:br/>
      </w:r>
      <w:r>
        <w:rPr>
          <w:rFonts w:ascii="Titillium" w:eastAsia="Titillium" w:hAnsi="Titillium" w:cs="Titillium"/>
          <w:sz w:val="24"/>
          <w:szCs w:val="24"/>
        </w:rPr>
        <w:br/>
        <w:t>La presente dichiarazione di accessibilità si applica a “</w:t>
      </w:r>
      <w:r>
        <w:rPr>
          <w:rFonts w:ascii="Titillium" w:eastAsia="Titillium" w:hAnsi="Titillium" w:cs="Titillium"/>
          <w:b/>
          <w:bCs/>
          <w:sz w:val="24"/>
          <w:szCs w:val="24"/>
        </w:rPr>
        <w:t>Sito istituzionale Camera di Commercio di Caserta</w:t>
      </w:r>
      <w:r>
        <w:rPr>
          <w:rFonts w:ascii="Titillium" w:eastAsia="Titillium" w:hAnsi="Titillium" w:cs="Titillium"/>
          <w:sz w:val="24"/>
          <w:szCs w:val="24"/>
        </w:rPr>
        <w:t>”.</w:t>
      </w:r>
    </w:p>
    <w:p w14:paraId="00000014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hyperlink r:id="rId15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https://www.ce.camcom.it/</w:t>
        </w:r>
      </w:hyperlink>
    </w:p>
    <w:p w14:paraId="00000015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16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36"/>
          <w:szCs w:val="36"/>
        </w:rPr>
      </w:pPr>
      <w:r>
        <w:rPr>
          <w:rFonts w:ascii="Titillium" w:eastAsia="Titillium" w:hAnsi="Titillium" w:cs="Titillium"/>
          <w:b/>
          <w:bCs/>
          <w:sz w:val="36"/>
          <w:szCs w:val="36"/>
        </w:rPr>
        <w:t>Sezione 1</w:t>
      </w:r>
    </w:p>
    <w:p w14:paraId="00000017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Contenuti in ottemperanza alla Decisione di esecuzione UE 2018/1523.</w:t>
      </w:r>
    </w:p>
    <w:p w14:paraId="00000018" w14:textId="77777777" w:rsidR="00BA2509" w:rsidRDefault="00BA2509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</w:p>
    <w:p w14:paraId="00000019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STATO DI CONFORMITÀ</w:t>
      </w:r>
    </w:p>
    <w:p w14:paraId="0000001A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Questo </w:t>
      </w:r>
      <w:r>
        <w:rPr>
          <w:rFonts w:ascii="Titillium" w:eastAsia="Titillium" w:hAnsi="Titillium" w:cs="Titillium"/>
          <w:b/>
          <w:bCs/>
          <w:sz w:val="24"/>
          <w:szCs w:val="24"/>
        </w:rPr>
        <w:t>sito web</w:t>
      </w:r>
      <w:r>
        <w:rPr>
          <w:rFonts w:ascii="Titillium" w:eastAsia="Titillium" w:hAnsi="Titillium" w:cs="Titillium"/>
          <w:sz w:val="24"/>
          <w:szCs w:val="24"/>
        </w:rPr>
        <w:t xml:space="preserve"> è </w:t>
      </w:r>
      <w:r>
        <w:rPr>
          <w:rFonts w:ascii="Titillium" w:eastAsia="Titillium" w:hAnsi="Titillium" w:cs="Titillium"/>
          <w:b/>
          <w:bCs/>
          <w:sz w:val="24"/>
          <w:szCs w:val="24"/>
        </w:rPr>
        <w:t>parzialmente conforme ai requisiti previsti dall’allegato A alla norma UNI EN 301549:2018 (WCAG 2.1) in ragione dei casi di non conformità e/o delle deroghe elencate di seguito.</w:t>
      </w:r>
    </w:p>
    <w:p w14:paraId="0000001B" w14:textId="77777777" w:rsidR="00BA2509" w:rsidRDefault="00BA2509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</w:p>
    <w:p w14:paraId="0000001C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CONTENUTI NON ACCESSIBILI</w:t>
      </w:r>
    </w:p>
    <w:p w14:paraId="0000001D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lastRenderedPageBreak/>
        <w:t xml:space="preserve">I contenuti di seguito elencati non sono accessibili per i seguenti motivi raggruppati per Principi WCAG: </w:t>
      </w:r>
    </w:p>
    <w:p w14:paraId="0000001E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inosservanza della legge 4/2004</w:t>
      </w:r>
    </w:p>
    <w:p w14:paraId="0000001F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20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b/>
          <w:bCs/>
          <w:sz w:val="24"/>
          <w:szCs w:val="24"/>
        </w:rPr>
        <w:t>PERCEPIBILE</w:t>
      </w:r>
    </w:p>
    <w:p w14:paraId="00000021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1.3.1 - Tech H42 - Utilizzo di h1-h6 per identificare le intestazioni</w:t>
      </w:r>
    </w:p>
    <w:p w14:paraId="00000022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1.4.11 - Tech G195 - Utilizzo di un indicatore di messa a fuoco altamente visibile fornito dall'autore</w:t>
      </w:r>
    </w:p>
    <w:p w14:paraId="00000023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1.4.10 - Tech C38 - Utilizzo di CSS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width</w:t>
      </w:r>
      <w:proofErr w:type="spellEnd"/>
      <w:r>
        <w:rPr>
          <w:rFonts w:ascii="Titillium" w:eastAsia="Titillium" w:hAnsi="Titillium" w:cs="Titillium"/>
          <w:sz w:val="24"/>
          <w:szCs w:val="24"/>
        </w:rPr>
        <w:t>, max-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width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e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flexbox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per adattare etichette e input</w:t>
      </w:r>
    </w:p>
    <w:p w14:paraId="00000024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1.4.3 - Tech G18 - Garantire che esista un rapporto di contrasto di almeno 4,5:1 tra il testo (e le immagini del testo) e lo sfondo dietro il testo</w:t>
      </w:r>
    </w:p>
    <w:p w14:paraId="00000025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1.1.1 - Tech F65 </w:t>
      </w:r>
      <w:proofErr w:type="gramStart"/>
      <w:r>
        <w:rPr>
          <w:rFonts w:ascii="Titillium" w:eastAsia="Titillium" w:hAnsi="Titillium" w:cs="Titillium"/>
          <w:sz w:val="24"/>
          <w:szCs w:val="24"/>
        </w:rPr>
        <w:t>-  Fallimento</w:t>
      </w:r>
      <w:proofErr w:type="gramEnd"/>
      <w:r>
        <w:rPr>
          <w:rFonts w:ascii="Titillium" w:eastAsia="Titillium" w:hAnsi="Titillium" w:cs="Titillium"/>
          <w:sz w:val="24"/>
          <w:szCs w:val="24"/>
        </w:rPr>
        <w:t xml:space="preserve"> del criterio di successo 1.1.1 a causa dell'omissione dell'attributo alt su elementi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img</w:t>
      </w:r>
      <w:proofErr w:type="spellEnd"/>
      <w:r>
        <w:rPr>
          <w:rFonts w:ascii="Titillium" w:eastAsia="Titillium" w:hAnsi="Titillium" w:cs="Titillium"/>
          <w:sz w:val="24"/>
          <w:szCs w:val="24"/>
        </w:rPr>
        <w:t>, elementi area ed elementi input di tipo image</w:t>
      </w:r>
    </w:p>
    <w:p w14:paraId="00000026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1.1.1 - Tech H30 - Fornire il testo del collegamento che descrive lo scopo di un collegamento per gli elementi di ancoraggio</w:t>
      </w:r>
    </w:p>
    <w:p w14:paraId="00000027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1.1.1 - Tech H37 - Utilizzo degli attributi alt sugli elementi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img</w:t>
      </w:r>
      <w:proofErr w:type="spellEnd"/>
    </w:p>
    <w:p w14:paraId="00000028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1.3.1 - 1.4.5 - Tech G140 - Separare informazioni e struttura dalla presentazione per abilitare presentazioni differenti</w:t>
      </w:r>
    </w:p>
    <w:p w14:paraId="00000029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1.4.12 - Tech C21 - Specifica dell'interlinea nei CSS</w:t>
      </w:r>
    </w:p>
    <w:p w14:paraId="0000002A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1.1.1 - Tech H67 - Utilizzo di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null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alt text e nessun 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title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su elementi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img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per immagini che AT dovrebbe ignorare</w:t>
      </w:r>
    </w:p>
    <w:p w14:paraId="0000002B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1.3.1 - Tech ARIA11 - Utilizzo dei punti di riferimento ARIA per identificare le aree di una pagina</w:t>
      </w:r>
    </w:p>
    <w:p w14:paraId="0000002C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1.4.4 - 1.4.5 - Tech C12 - Utilizzo di percentuale, unità em o dimensioni dei caratteri con nome</w:t>
      </w:r>
    </w:p>
    <w:p w14:paraId="0000002D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1.4.4 - 1.4.12 - Tech C28 - Specificare la dimensione dei contenitori di testo utilizzando le unità em</w:t>
      </w:r>
    </w:p>
    <w:p w14:paraId="0000002E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1.3.1 - Tech H73 - Utilizzare l’attributo sommario della tabella degli elementi per fornire una panoramica dei dati della tabella</w:t>
      </w:r>
    </w:p>
    <w:p w14:paraId="0000002F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30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31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32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4"/>
          <w:szCs w:val="24"/>
        </w:rPr>
      </w:pPr>
      <w:r>
        <w:rPr>
          <w:rFonts w:ascii="Titillium" w:eastAsia="Titillium" w:hAnsi="Titillium" w:cs="Titillium"/>
          <w:b/>
          <w:bCs/>
          <w:sz w:val="24"/>
          <w:szCs w:val="24"/>
        </w:rPr>
        <w:t>OPERABILE</w:t>
      </w:r>
    </w:p>
    <w:p w14:paraId="00000033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2.4.7 - Tech F78 - Utilizzo di un indicatore di messa a fuoco altamente visibile fornito dall'autore</w:t>
      </w:r>
    </w:p>
    <w:p w14:paraId="00000034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2.4.7 - Tech G195 - Utilizzo di un indicatore di messa a fuoco altamente visibile fornito dall'autore</w:t>
      </w:r>
    </w:p>
    <w:p w14:paraId="00000035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2.4.4 - Tech H30 - Fornire il testo del collegamento che descrive lo scopo di un collegamento per gli elementi di ancoraggio</w:t>
      </w:r>
    </w:p>
    <w:p w14:paraId="00000036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2.4.4 - Tech F89 - Fallimento del criterio di successo 2.4.4, 2.4.9 e 4.1.2 perché non fornisce un nome accessibile per un'immagine che è l'unico contenuto in un link</w:t>
      </w:r>
    </w:p>
    <w:p w14:paraId="00000037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2.5.3 - Tech F96 - Se nella pagina sono presenti i tag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arialabel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o aria-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labelledby</w:t>
      </w:r>
      <w:proofErr w:type="spellEnd"/>
      <w:r>
        <w:rPr>
          <w:rFonts w:ascii="Titillium" w:eastAsia="Titillium" w:hAnsi="Titillium" w:cs="Titillium"/>
          <w:sz w:val="24"/>
          <w:szCs w:val="24"/>
        </w:rPr>
        <w:t>, verificare che il loro contenuto corrisponda al nome visibile</w:t>
      </w:r>
    </w:p>
    <w:p w14:paraId="00000038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SC 2.4.1 - Tech ARIA11 - Utilizzo dei punti di riferimento ARIA per identificare le aree di una pagina</w:t>
      </w:r>
    </w:p>
    <w:p w14:paraId="00000039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SC 2.4.4 - Tech H33 - Integrazione del testo del link con l'attributo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title</w:t>
      </w:r>
      <w:proofErr w:type="spellEnd"/>
    </w:p>
    <w:p w14:paraId="0000003A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3B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4"/>
          <w:szCs w:val="24"/>
        </w:rPr>
      </w:pPr>
      <w:bookmarkStart w:id="0" w:name="_gjdgxs" w:colFirst="0" w:colLast="0"/>
      <w:bookmarkEnd w:id="0"/>
      <w:r>
        <w:rPr>
          <w:rFonts w:ascii="Titillium" w:eastAsia="Titillium" w:hAnsi="Titillium" w:cs="Titillium"/>
          <w:b/>
          <w:bCs/>
          <w:sz w:val="24"/>
          <w:szCs w:val="24"/>
        </w:rPr>
        <w:t>ROBUSTO</w:t>
      </w:r>
    </w:p>
    <w:p w14:paraId="0000003C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1" w:name="_7dp6vedrubqm" w:colFirst="0" w:colLast="0"/>
      <w:bookmarkEnd w:id="1"/>
      <w:r>
        <w:rPr>
          <w:rFonts w:ascii="Titillium" w:eastAsia="Titillium" w:hAnsi="Titillium" w:cs="Titillium"/>
          <w:sz w:val="24"/>
          <w:szCs w:val="24"/>
        </w:rPr>
        <w:t xml:space="preserve">SC 4.1.2 - Tech H65 - Utilizzo dell'attributo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title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per identificare i controlli del modulo quando l'elemento etichetta non può essere utilizzato</w:t>
      </w:r>
    </w:p>
    <w:p w14:paraId="0000003D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2" w:name="_wr54wydwm0ja" w:colFirst="0" w:colLast="0"/>
      <w:bookmarkEnd w:id="2"/>
      <w:r>
        <w:rPr>
          <w:rFonts w:ascii="Titillium" w:eastAsia="Titillium" w:hAnsi="Titillium" w:cs="Titillium"/>
          <w:sz w:val="24"/>
          <w:szCs w:val="24"/>
        </w:rPr>
        <w:t>SC 4.1.1 - Tech H93 - Assicurarsi che gli attributi ID siano unici in una pagina web</w:t>
      </w:r>
    </w:p>
    <w:p w14:paraId="0000003E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3" w:name="_64cgoorm3toa" w:colFirst="0" w:colLast="0"/>
      <w:bookmarkEnd w:id="3"/>
      <w:r>
        <w:rPr>
          <w:rFonts w:ascii="Titillium" w:eastAsia="Titillium" w:hAnsi="Titillium" w:cs="Titillium"/>
          <w:sz w:val="24"/>
          <w:szCs w:val="24"/>
        </w:rPr>
        <w:t>SC 4.1.2 - Tech F89 - Fallimento del criterio di successo 2.4.4, 2.4.9 e 4.1.2 perché non fornisce un nome accessibile per un'immagine che è l'unico contenuto in un link</w:t>
      </w:r>
    </w:p>
    <w:p w14:paraId="0000003F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4" w:name="_1r8wa0dlhzuh" w:colFirst="0" w:colLast="0"/>
      <w:bookmarkEnd w:id="4"/>
      <w:r>
        <w:rPr>
          <w:rFonts w:ascii="Titillium" w:eastAsia="Titillium" w:hAnsi="Titillium" w:cs="Titillium"/>
          <w:sz w:val="24"/>
          <w:szCs w:val="24"/>
        </w:rPr>
        <w:t>SC 4.1.1 - Tech F77 - Fallimento del criterio di successo 4.1.1 a causa di duplicati nei valori di tipo ID</w:t>
      </w:r>
    </w:p>
    <w:p w14:paraId="00000040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5" w:name="_uu4a0q1foqy6" w:colFirst="0" w:colLast="0"/>
      <w:bookmarkEnd w:id="5"/>
      <w:r>
        <w:rPr>
          <w:rFonts w:ascii="Titillium" w:eastAsia="Titillium" w:hAnsi="Titillium" w:cs="Titillium"/>
          <w:sz w:val="24"/>
          <w:szCs w:val="24"/>
        </w:rPr>
        <w:t>SC 4.1.2 - Tech ARIA5 - Utilizzo degli attributi di stato e proprietà WAI-ARIA per esporre lo stato di un componente dell'interfaccia utente</w:t>
      </w:r>
    </w:p>
    <w:p w14:paraId="00000041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6" w:name="_2rlhjspwr4yh" w:colFirst="0" w:colLast="0"/>
      <w:bookmarkEnd w:id="6"/>
      <w:r>
        <w:rPr>
          <w:rFonts w:ascii="Titillium" w:eastAsia="Titillium" w:hAnsi="Titillium" w:cs="Titillium"/>
          <w:sz w:val="24"/>
          <w:szCs w:val="24"/>
        </w:rPr>
        <w:t xml:space="preserve">SC 4.1.3 - Tech G199 - Utilizzare l’attributo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role</w:t>
      </w:r>
      <w:proofErr w:type="spellEnd"/>
      <w:r>
        <w:rPr>
          <w:rFonts w:ascii="Titillium" w:eastAsia="Titillium" w:hAnsi="Titillium" w:cs="Titillium"/>
          <w:sz w:val="24"/>
          <w:szCs w:val="24"/>
        </w:rPr>
        <w:t>-status per notificare alle Tecnologie Assistive che l’invio è avvenuto con successo.</w:t>
      </w:r>
    </w:p>
    <w:p w14:paraId="00000042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7" w:name="_ilduqxj8rkiy" w:colFirst="0" w:colLast="0"/>
      <w:bookmarkEnd w:id="7"/>
      <w:r>
        <w:rPr>
          <w:rFonts w:ascii="Titillium" w:eastAsia="Titillium" w:hAnsi="Titillium" w:cs="Titillium"/>
          <w:sz w:val="24"/>
          <w:szCs w:val="24"/>
        </w:rPr>
        <w:t xml:space="preserve">SC 4.1.2 - Tech H65 - Utilizzo dell'attributo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title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per identificare i controlli del modulo quando l'elemento etichetta non può essere utilizzato</w:t>
      </w:r>
    </w:p>
    <w:p w14:paraId="00000043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8" w:name="_t7wof135dy13" w:colFirst="0" w:colLast="0"/>
      <w:bookmarkEnd w:id="8"/>
      <w:r>
        <w:rPr>
          <w:rFonts w:ascii="Titillium" w:eastAsia="Titillium" w:hAnsi="Titillium" w:cs="Titillium"/>
          <w:sz w:val="24"/>
          <w:szCs w:val="24"/>
        </w:rPr>
        <w:t>SC 4.1.2 - Tech ARIA5 - Utilizzo degli attributi di stato e proprietà WAI-ARIA per esporre lo stato di un componente dell'interfaccia utente</w:t>
      </w:r>
    </w:p>
    <w:p w14:paraId="00000044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bookmarkStart w:id="9" w:name="_sfdavuvvuvmc" w:colFirst="0" w:colLast="0"/>
      <w:bookmarkEnd w:id="9"/>
      <w:r>
        <w:rPr>
          <w:rFonts w:ascii="Titillium" w:eastAsia="Titillium" w:hAnsi="Titillium" w:cs="Titillium"/>
          <w:sz w:val="24"/>
          <w:szCs w:val="24"/>
        </w:rPr>
        <w:t xml:space="preserve">SC 4.1.3 - Tech G199 - Utilizzare l’attributo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role</w:t>
      </w:r>
      <w:proofErr w:type="spellEnd"/>
      <w:r>
        <w:rPr>
          <w:rFonts w:ascii="Titillium" w:eastAsia="Titillium" w:hAnsi="Titillium" w:cs="Titillium"/>
          <w:sz w:val="24"/>
          <w:szCs w:val="24"/>
        </w:rPr>
        <w:t>-status per notificare alle Tecnologie Assistive che l’invio è avvenuto con successo.</w:t>
      </w:r>
    </w:p>
    <w:p w14:paraId="00000045" w14:textId="77777777" w:rsidR="00BA2509" w:rsidRDefault="00BA2509">
      <w:pPr>
        <w:spacing w:line="240" w:lineRule="auto"/>
        <w:rPr>
          <w:rFonts w:ascii="Titillium" w:eastAsia="Titillium" w:hAnsi="Titillium" w:cs="Titillium"/>
          <w:b/>
          <w:bCs/>
          <w:sz w:val="24"/>
          <w:szCs w:val="24"/>
        </w:rPr>
      </w:pPr>
      <w:bookmarkStart w:id="10" w:name="_o4p1f2eioqik" w:colFirst="0" w:colLast="0"/>
      <w:bookmarkEnd w:id="10"/>
    </w:p>
    <w:p w14:paraId="00000046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REDAZIONE DELLA DICHIARAZIONE DI ACCESSIBILITÀ</w:t>
      </w:r>
    </w:p>
    <w:p w14:paraId="00000047" w14:textId="7F745DCC" w:rsidR="00BA2509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La dichiarazione è stata redatta il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21</w:t>
      </w:r>
      <w:r>
        <w:rPr>
          <w:rFonts w:ascii="Titillium" w:eastAsia="Titillium" w:hAnsi="Titillium" w:cs="Titillium"/>
          <w:sz w:val="24"/>
          <w:szCs w:val="24"/>
        </w:rPr>
        <w:t>.09.2006.</w:t>
      </w:r>
    </w:p>
    <w:p w14:paraId="00000048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La dichiarazione è stata effettuata utilizzando una valutazione conforme alle prescrizioni della direttiva (UE) 2016/2012 mediante </w:t>
      </w:r>
      <w:r>
        <w:rPr>
          <w:rFonts w:ascii="Titillium" w:eastAsia="Titillium" w:hAnsi="Titillium" w:cs="Titillium"/>
          <w:b/>
          <w:bCs/>
          <w:sz w:val="24"/>
          <w:szCs w:val="24"/>
        </w:rPr>
        <w:t>strumento automatico di valutazione MAUVE++.</w:t>
      </w:r>
    </w:p>
    <w:p w14:paraId="00000049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L’analisi è stata effettuata utilizzando il modello autovalutazione AGID? No</w:t>
      </w:r>
    </w:p>
    <w:p w14:paraId="0000004A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FEEDBACK E RECAPITI</w:t>
      </w:r>
    </w:p>
    <w:p w14:paraId="0000004B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L'Ente mette a disposizione il meccanismo di feedback da utilizzare per notificare i casi di mancata conformità e per richiedere informazioni e contenuti che sono esclusi dall'ambito di applicazione della direttiva</w:t>
      </w:r>
    </w:p>
    <w:p w14:paraId="0000004C" w14:textId="683FEE97" w:rsidR="00BA2509" w:rsidRPr="00253878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b/>
          <w:bCs/>
          <w:sz w:val="24"/>
          <w:szCs w:val="24"/>
        </w:rPr>
        <w:t>Meccanismo di feedback</w:t>
      </w:r>
      <w:r>
        <w:rPr>
          <w:rFonts w:ascii="Titillium" w:eastAsia="Titillium" w:hAnsi="Titillium" w:cs="Titillium"/>
          <w:sz w:val="24"/>
          <w:szCs w:val="24"/>
        </w:rPr>
        <w:t xml:space="preserve">: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https://www.ce.camcom.it/amministrazione-trasparente/altri-contenuti-accessibilita-e-catalogo-di-dati-metadati-e-banche-dati</w:t>
      </w:r>
    </w:p>
    <w:p w14:paraId="0000004D" w14:textId="1B614F50" w:rsidR="00BA2509" w:rsidRDefault="00000000">
      <w:pPr>
        <w:spacing w:before="280" w:after="280" w:line="240" w:lineRule="auto"/>
        <w:rPr>
          <w:rFonts w:ascii="Titillium" w:eastAsia="Titillium" w:hAnsi="Titillium" w:cs="Titillium"/>
          <w:color w:val="FF0000"/>
          <w:sz w:val="24"/>
          <w:szCs w:val="24"/>
        </w:rPr>
      </w:pPr>
      <w:r>
        <w:rPr>
          <w:rFonts w:ascii="Titillium" w:eastAsia="Titillium" w:hAnsi="Titillium" w:cs="Titillium"/>
          <w:b/>
          <w:bCs/>
          <w:sz w:val="24"/>
          <w:szCs w:val="24"/>
        </w:rPr>
        <w:t>Email della persona responsabile dell’accessibilità (RTD</w:t>
      </w:r>
      <w:r w:rsidRPr="00253878">
        <w:rPr>
          <w:rFonts w:ascii="Titillium" w:eastAsia="Titillium" w:hAnsi="Titillium" w:cs="Titillium"/>
          <w:b/>
          <w:bCs/>
          <w:sz w:val="24"/>
          <w:szCs w:val="24"/>
        </w:rPr>
        <w:t>)</w:t>
      </w:r>
      <w:r w:rsidRPr="00253878">
        <w:rPr>
          <w:rFonts w:ascii="Titillium" w:eastAsia="Titillium" w:hAnsi="Titillium" w:cs="Titillium"/>
          <w:sz w:val="24"/>
          <w:szCs w:val="24"/>
        </w:rPr>
        <w:t xml:space="preserve">: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federico.sisti@ce.camcom.it</w:t>
      </w:r>
    </w:p>
    <w:p w14:paraId="0000004E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PROCEDURA DI ATTUAZIONE</w:t>
      </w:r>
    </w:p>
    <w:p w14:paraId="0000004F" w14:textId="77777777" w:rsidR="00BA2509" w:rsidRDefault="00000000">
      <w:pPr>
        <w:spacing w:before="280" w:after="280"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Procedura di attuazione ai sensi dell’art. 3-quinquies, comma 3, L. 9 gennaio 2004, n. 4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s.m.i.</w:t>
      </w:r>
      <w:proofErr w:type="spellEnd"/>
      <w:r>
        <w:rPr>
          <w:rFonts w:ascii="Titillium" w:eastAsia="Titillium" w:hAnsi="Titillium" w:cs="Titillium"/>
          <w:sz w:val="24"/>
          <w:szCs w:val="24"/>
        </w:rPr>
        <w:t>.</w:t>
      </w:r>
      <w:r>
        <w:rPr>
          <w:rFonts w:ascii="Titillium" w:eastAsia="Titillium" w:hAnsi="Titillium" w:cs="Titillium"/>
          <w:sz w:val="24"/>
          <w:szCs w:val="24"/>
        </w:rPr>
        <w:br/>
      </w:r>
      <w:r>
        <w:rPr>
          <w:rFonts w:ascii="Titillium" w:eastAsia="Titillium" w:hAnsi="Titillium" w:cs="Titillium"/>
          <w:sz w:val="24"/>
          <w:szCs w:val="24"/>
        </w:rPr>
        <w:br/>
        <w:t xml:space="preserve">L’utente può inviare il reclamo al Difensore civico per il digitale, istituito ai sensi dell’art. 17 </w:t>
      </w:r>
      <w:r>
        <w:rPr>
          <w:rFonts w:ascii="Titillium" w:eastAsia="Titillium" w:hAnsi="Titillium" w:cs="Titillium"/>
          <w:sz w:val="24"/>
          <w:szCs w:val="24"/>
        </w:rPr>
        <w:lastRenderedPageBreak/>
        <w:t>comma 1-quater CAD, esclusivamente a seguito di risposta insoddisfacente o mancata risposta al feedback notificato al soggetto erogatore.</w:t>
      </w:r>
    </w:p>
    <w:p w14:paraId="00000052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36"/>
          <w:szCs w:val="36"/>
        </w:rPr>
      </w:pPr>
      <w:r>
        <w:rPr>
          <w:rFonts w:ascii="Titillium" w:eastAsia="Titillium" w:hAnsi="Titillium" w:cs="Titillium"/>
          <w:b/>
          <w:bCs/>
          <w:sz w:val="36"/>
          <w:szCs w:val="36"/>
        </w:rPr>
        <w:t>Sezione 2</w:t>
      </w:r>
    </w:p>
    <w:p w14:paraId="00000053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Informazioni richieste da AGID</w:t>
      </w:r>
    </w:p>
    <w:p w14:paraId="00000054" w14:textId="77777777" w:rsidR="00BA2509" w:rsidRDefault="00BA2509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</w:p>
    <w:p w14:paraId="00000055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INFORMAZIONI SUL SITO</w:t>
      </w:r>
    </w:p>
    <w:p w14:paraId="00000056" w14:textId="2ECEF2B0" w:rsidR="00BA2509" w:rsidRDefault="00000000">
      <w:pPr>
        <w:spacing w:line="240" w:lineRule="auto"/>
        <w:rPr>
          <w:rFonts w:ascii="Titillium" w:eastAsia="Titillium" w:hAnsi="Titillium" w:cs="Titillium"/>
          <w:color w:val="FF0000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Data della pubblicazione del sito o applicazione mobile: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30/05/2020</w:t>
      </w:r>
    </w:p>
    <w:p w14:paraId="00000057" w14:textId="72D8BB39" w:rsidR="00BA2509" w:rsidRDefault="00000000">
      <w:pPr>
        <w:spacing w:line="240" w:lineRule="auto"/>
        <w:rPr>
          <w:rFonts w:ascii="Titillium" w:eastAsia="Titillium" w:hAnsi="Titillium" w:cs="Titillium"/>
          <w:color w:val="FF0000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Sono stati effettuati test di </w:t>
      </w:r>
      <w:proofErr w:type="gramStart"/>
      <w:r>
        <w:rPr>
          <w:rFonts w:ascii="Titillium" w:eastAsia="Titillium" w:hAnsi="Titillium" w:cs="Titillium"/>
          <w:sz w:val="24"/>
          <w:szCs w:val="24"/>
        </w:rPr>
        <w:t>usabilità?:</w:t>
      </w:r>
      <w:proofErr w:type="gramEnd"/>
      <w:r>
        <w:rPr>
          <w:rFonts w:ascii="Titillium" w:eastAsia="Titillium" w:hAnsi="Titillium" w:cs="Titillium"/>
          <w:sz w:val="24"/>
          <w:szCs w:val="24"/>
        </w:rPr>
        <w:t xml:space="preserve">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NO</w:t>
      </w:r>
    </w:p>
    <w:p w14:paraId="00000058" w14:textId="77777777" w:rsidR="00BA2509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Content Management System (CMS) utilizzato: </w:t>
      </w:r>
      <w:proofErr w:type="spellStart"/>
      <w:r>
        <w:rPr>
          <w:rFonts w:ascii="Titillium" w:eastAsia="Titillium" w:hAnsi="Titillium" w:cs="Titillium"/>
          <w:sz w:val="24"/>
          <w:szCs w:val="24"/>
        </w:rPr>
        <w:t>Drupal</w:t>
      </w:r>
      <w:proofErr w:type="spellEnd"/>
      <w:r>
        <w:rPr>
          <w:rFonts w:ascii="Titillium" w:eastAsia="Titillium" w:hAnsi="Titillium" w:cs="Titillium"/>
          <w:sz w:val="24"/>
          <w:szCs w:val="24"/>
        </w:rPr>
        <w:t xml:space="preserve"> 7</w:t>
      </w:r>
    </w:p>
    <w:p w14:paraId="00000059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5A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INFORMAZIONI SULLA STRUTTURA</w:t>
      </w:r>
    </w:p>
    <w:p w14:paraId="0000005B" w14:textId="013633B3" w:rsidR="00BA2509" w:rsidRDefault="00000000">
      <w:pPr>
        <w:spacing w:line="240" w:lineRule="auto"/>
        <w:rPr>
          <w:rFonts w:ascii="Titillium" w:eastAsia="Titillium" w:hAnsi="Titillium" w:cs="Titillium"/>
          <w:color w:val="FF0000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>Numero di dipendenti con disabilità presenti nell'amministrazione</w:t>
      </w:r>
      <w:r w:rsidR="00253878">
        <w:rPr>
          <w:rFonts w:ascii="Titillium" w:eastAsia="Titillium" w:hAnsi="Titillium" w:cs="Titillium"/>
          <w:sz w:val="24"/>
          <w:szCs w:val="24"/>
        </w:rPr>
        <w:t>: 1</w:t>
      </w:r>
    </w:p>
    <w:p w14:paraId="0000005C" w14:textId="58251B99" w:rsidR="00BA2509" w:rsidRDefault="00000000">
      <w:pPr>
        <w:spacing w:line="240" w:lineRule="auto"/>
        <w:rPr>
          <w:rFonts w:ascii="Titillium" w:eastAsia="Titillium" w:hAnsi="Titillium" w:cs="Titillium"/>
          <w:color w:val="FF0000"/>
          <w:sz w:val="24"/>
          <w:szCs w:val="24"/>
        </w:rPr>
      </w:pPr>
      <w:r>
        <w:rPr>
          <w:rFonts w:ascii="Titillium" w:eastAsia="Titillium" w:hAnsi="Titillium" w:cs="Titillium"/>
          <w:sz w:val="24"/>
          <w:szCs w:val="24"/>
        </w:rPr>
        <w:t xml:space="preserve">Numero di postazioni di lavoro per dipendenti con disabilità: </w:t>
      </w:r>
      <w:r w:rsidR="00253878" w:rsidRPr="00253878">
        <w:rPr>
          <w:rFonts w:ascii="Titillium" w:eastAsia="Titillium" w:hAnsi="Titillium" w:cs="Titillium"/>
          <w:sz w:val="24"/>
          <w:szCs w:val="24"/>
        </w:rPr>
        <w:t>1</w:t>
      </w:r>
    </w:p>
    <w:p w14:paraId="0000005D" w14:textId="77777777" w:rsidR="00BA2509" w:rsidRDefault="00BA2509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</w:p>
    <w:p w14:paraId="0000005E" w14:textId="77777777" w:rsidR="00BA2509" w:rsidRDefault="00000000">
      <w:pPr>
        <w:spacing w:line="240" w:lineRule="auto"/>
        <w:rPr>
          <w:rFonts w:ascii="Titillium" w:eastAsia="Titillium" w:hAnsi="Titillium" w:cs="Titillium"/>
          <w:b/>
          <w:bCs/>
          <w:sz w:val="27"/>
          <w:szCs w:val="27"/>
        </w:rPr>
      </w:pPr>
      <w:r>
        <w:rPr>
          <w:rFonts w:ascii="Titillium" w:eastAsia="Titillium" w:hAnsi="Titillium" w:cs="Titillium"/>
          <w:b/>
          <w:bCs/>
          <w:sz w:val="27"/>
          <w:szCs w:val="27"/>
        </w:rPr>
        <w:t>IL RESPONSABILE DEI PROCESSI DI INTEGRAZIONE</w:t>
      </w:r>
    </w:p>
    <w:p w14:paraId="0000005F" w14:textId="77777777" w:rsidR="00BA2509" w:rsidRPr="00253878" w:rsidRDefault="00000000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  <w:r w:rsidRPr="00253878">
        <w:rPr>
          <w:rFonts w:ascii="Titillium" w:eastAsia="Titillium" w:hAnsi="Titillium" w:cs="Titillium"/>
          <w:sz w:val="24"/>
          <w:szCs w:val="24"/>
        </w:rPr>
        <w:t xml:space="preserve">Il responsabile dei processi di integrazione NON </w:t>
      </w:r>
      <w:r w:rsidRPr="00253878">
        <w:rPr>
          <w:rFonts w:ascii="Titillium" w:eastAsia="Titillium" w:hAnsi="Titillium" w:cs="Titillium"/>
          <w:b/>
          <w:bCs/>
          <w:sz w:val="24"/>
          <w:szCs w:val="24"/>
        </w:rPr>
        <w:t>è previsto nella struttura</w:t>
      </w:r>
      <w:r w:rsidRPr="00253878">
        <w:rPr>
          <w:rFonts w:ascii="Titillium" w:eastAsia="Titillium" w:hAnsi="Titillium" w:cs="Titillium"/>
          <w:sz w:val="24"/>
          <w:szCs w:val="24"/>
        </w:rPr>
        <w:t>.</w:t>
      </w:r>
    </w:p>
    <w:p w14:paraId="00000060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p w14:paraId="00000061" w14:textId="77777777" w:rsidR="00BA2509" w:rsidRDefault="00BA2509">
      <w:pPr>
        <w:spacing w:line="240" w:lineRule="auto"/>
        <w:rPr>
          <w:rFonts w:ascii="Titillium" w:eastAsia="Titillium" w:hAnsi="Titillium" w:cs="Titillium"/>
          <w:sz w:val="24"/>
          <w:szCs w:val="24"/>
        </w:rPr>
      </w:pPr>
    </w:p>
    <w:sectPr w:rsidR="00BA250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6C7176FC-BC3D-4E3F-BEC7-E8C24E233C0F}"/>
    <w:embedBold r:id="rId2" w:fontKey="{8ADA38A0-281E-499C-8C3B-DEE08B283262}"/>
  </w:font>
  <w:font w:name="Titillium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2119AC8-25D8-4D4F-9406-7975B1BA1C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7A04D50-45CD-4499-A736-B9F5192759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09"/>
    <w:rsid w:val="000C2001"/>
    <w:rsid w:val="00253878"/>
    <w:rsid w:val="00561216"/>
    <w:rsid w:val="00BA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3CDC"/>
  <w15:docId w15:val="{C99FEB0D-7DBC-401D-A2E7-D416985CB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e.camcom.it/in-evidenza/tutti-servizi" TargetMode="External"/><Relationship Id="rId13" Type="http://schemas.openxmlformats.org/officeDocument/2006/relationships/hyperlink" Target="https://www.ce.camcom.it/asip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e.camcom.it/eventi" TargetMode="External"/><Relationship Id="rId12" Type="http://schemas.openxmlformats.org/officeDocument/2006/relationships/hyperlink" Target="https://www.ce.camcom.it/notizie/bando-contributi-alle-imprese-agricole-sostenere-green-economy-edizione-2026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e.camcom.it/search/node/prova" TargetMode="External"/><Relationship Id="rId11" Type="http://schemas.openxmlformats.org/officeDocument/2006/relationships/hyperlink" Target="https://www.ce.camcom.it/bandi-incentivi" TargetMode="External"/><Relationship Id="rId5" Type="http://schemas.openxmlformats.org/officeDocument/2006/relationships/hyperlink" Target="https://www.ce.camcom.it/" TargetMode="External"/><Relationship Id="rId15" Type="http://schemas.openxmlformats.org/officeDocument/2006/relationships/hyperlink" Target="https://www.ce.camcom.it/" TargetMode="External"/><Relationship Id="rId10" Type="http://schemas.openxmlformats.org/officeDocument/2006/relationships/hyperlink" Target="https://www.ce.camcom.it/prenotazione-appuntamenti" TargetMode="External"/><Relationship Id="rId4" Type="http://schemas.openxmlformats.org/officeDocument/2006/relationships/hyperlink" Target="https://www.agid.gov.it/en/node/102952" TargetMode="External"/><Relationship Id="rId9" Type="http://schemas.openxmlformats.org/officeDocument/2006/relationships/hyperlink" Target="https://www.ce.camcom.it/registro-imprese" TargetMode="External"/><Relationship Id="rId14" Type="http://schemas.openxmlformats.org/officeDocument/2006/relationships/hyperlink" Target="https://www.ce.camcom.it/sitemap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1127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Michela Tierno</dc:creator>
  <cp:lastModifiedBy>Maria Michela Tierno</cp:lastModifiedBy>
  <cp:revision>2</cp:revision>
  <dcterms:created xsi:type="dcterms:W3CDTF">2026-09-30T07:30:00Z</dcterms:created>
  <dcterms:modified xsi:type="dcterms:W3CDTF">2026-09-30T07:30:00Z</dcterms:modified>
</cp:coreProperties>
</file>